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–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–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4 из 4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6.13.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4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Высокий уровень удовлетворённости отмечен по вопросу «Оцените проведение совместных с университетом мероприятий по профориентационной работе».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воспитание, общую культуру и эрудированность обучающихся/выпускников»,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6.13,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взаимодействием с вузом», получившего средние оценки анкетируемых («Оцените участие в разработке (актуализации) образовательных программ»).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6.37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